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B8D00" w14:textId="77777777" w:rsidR="00426D4C" w:rsidRDefault="00426D4C" w:rsidP="00426D4C">
      <w:pPr>
        <w:widowControl w:val="0"/>
        <w:autoSpaceDE w:val="0"/>
        <w:autoSpaceDN w:val="0"/>
        <w:adjustRightInd w:val="0"/>
        <w:rPr>
          <w:rFonts w:ascii="Palatino" w:hAnsi="Palatino" w:cs="Palatino"/>
          <w:sz w:val="20"/>
          <w:szCs w:val="20"/>
        </w:rPr>
      </w:pPr>
      <w:bookmarkStart w:id="0" w:name="_GoBack"/>
      <w:bookmarkEnd w:id="0"/>
      <w:r>
        <w:rPr>
          <w:rFonts w:ascii="Palatino" w:hAnsi="Palatino" w:cs="Palatino"/>
          <w:b/>
          <w:bCs/>
          <w:sz w:val="20"/>
          <w:szCs w:val="20"/>
        </w:rPr>
        <w:t>Instructor:</w:t>
      </w:r>
      <w:r>
        <w:rPr>
          <w:rFonts w:ascii="Palatino" w:hAnsi="Palatino" w:cs="Palatino"/>
          <w:sz w:val="20"/>
          <w:szCs w:val="20"/>
        </w:rPr>
        <w:tab/>
        <w:t>Sheng Xiong</w:t>
      </w:r>
    </w:p>
    <w:p w14:paraId="370CF9D0" w14:textId="3E2B2E54" w:rsidR="00426D4C" w:rsidRDefault="00426D4C" w:rsidP="00426D4C">
      <w:pPr>
        <w:widowControl w:val="0"/>
        <w:autoSpaceDE w:val="0"/>
        <w:autoSpaceDN w:val="0"/>
        <w:adjustRightInd w:val="0"/>
        <w:rPr>
          <w:rFonts w:ascii="Palatino" w:hAnsi="Palatino" w:cs="Palatino"/>
          <w:sz w:val="20"/>
          <w:szCs w:val="20"/>
        </w:rPr>
      </w:pPr>
      <w:r>
        <w:rPr>
          <w:rFonts w:ascii="Palatino" w:hAnsi="Palatino" w:cs="Palatino"/>
          <w:sz w:val="20"/>
          <w:szCs w:val="20"/>
        </w:rPr>
        <w:t xml:space="preserve">    </w:t>
      </w:r>
      <w:r w:rsidR="00F15C62">
        <w:rPr>
          <w:rFonts w:ascii="Palatino" w:hAnsi="Palatino" w:cs="Palatino"/>
          <w:sz w:val="20"/>
          <w:szCs w:val="20"/>
        </w:rPr>
        <w:t xml:space="preserve">                        </w:t>
      </w:r>
      <w:proofErr w:type="spellStart"/>
      <w:r w:rsidR="00F15C62">
        <w:rPr>
          <w:rFonts w:ascii="Palatino" w:hAnsi="Palatino" w:cs="Palatino"/>
          <w:sz w:val="20"/>
          <w:szCs w:val="20"/>
        </w:rPr>
        <w:t>Thack</w:t>
      </w:r>
      <w:proofErr w:type="spellEnd"/>
      <w:r w:rsidR="00F15C62">
        <w:rPr>
          <w:rFonts w:ascii="Palatino" w:hAnsi="Palatino" w:cs="Palatino"/>
          <w:sz w:val="20"/>
          <w:szCs w:val="20"/>
        </w:rPr>
        <w:t xml:space="preserve"> 50</w:t>
      </w:r>
      <w:r>
        <w:rPr>
          <w:rFonts w:ascii="Palatino" w:hAnsi="Palatino" w:cs="Palatino"/>
          <w:sz w:val="20"/>
          <w:szCs w:val="20"/>
        </w:rPr>
        <w:t>8</w:t>
      </w:r>
    </w:p>
    <w:p w14:paraId="07D87EFA" w14:textId="0D3637D0" w:rsidR="00426D4C" w:rsidRDefault="00F138A1" w:rsidP="00426D4C">
      <w:pPr>
        <w:widowControl w:val="0"/>
        <w:autoSpaceDE w:val="0"/>
        <w:autoSpaceDN w:val="0"/>
        <w:adjustRightInd w:val="0"/>
        <w:rPr>
          <w:rFonts w:ascii="Palatino" w:hAnsi="Palatino" w:cs="Palatino"/>
          <w:sz w:val="20"/>
          <w:szCs w:val="20"/>
        </w:rPr>
      </w:pPr>
      <w:r>
        <w:rPr>
          <w:rFonts w:ascii="Palatino" w:hAnsi="Palatino" w:cs="Palatino"/>
          <w:sz w:val="20"/>
          <w:szCs w:val="20"/>
        </w:rPr>
        <w:tab/>
      </w:r>
      <w:r>
        <w:rPr>
          <w:rFonts w:ascii="Palatino" w:hAnsi="Palatino" w:cs="Palatino"/>
          <w:sz w:val="20"/>
          <w:szCs w:val="20"/>
        </w:rPr>
        <w:tab/>
        <w:t xml:space="preserve">Office Hours – </w:t>
      </w:r>
      <w:r w:rsidR="00E149CE">
        <w:rPr>
          <w:rFonts w:ascii="Palatino" w:hAnsi="Palatino" w:cs="Palatino"/>
          <w:sz w:val="20"/>
          <w:szCs w:val="20"/>
        </w:rPr>
        <w:t>MW 11</w:t>
      </w:r>
      <w:r w:rsidR="00F15C62">
        <w:rPr>
          <w:rFonts w:ascii="Palatino" w:hAnsi="Palatino" w:cs="Palatino"/>
          <w:sz w:val="20"/>
          <w:szCs w:val="20"/>
        </w:rPr>
        <w:t>:00a</w:t>
      </w:r>
      <w:r w:rsidR="00E149CE">
        <w:rPr>
          <w:rFonts w:ascii="Palatino" w:hAnsi="Palatino" w:cs="Palatino"/>
          <w:sz w:val="20"/>
          <w:szCs w:val="20"/>
        </w:rPr>
        <w:t>m~1</w:t>
      </w:r>
      <w:r w:rsidR="00426D4C">
        <w:rPr>
          <w:rFonts w:ascii="Palatino" w:hAnsi="Palatino" w:cs="Palatino"/>
          <w:sz w:val="20"/>
          <w:szCs w:val="20"/>
        </w:rPr>
        <w:t>:00pm</w:t>
      </w:r>
      <w:r w:rsidR="00E149CE">
        <w:rPr>
          <w:rFonts w:ascii="Palatino" w:hAnsi="Palatino" w:cs="Palatino"/>
          <w:sz w:val="20"/>
          <w:szCs w:val="20"/>
        </w:rPr>
        <w:t xml:space="preserve"> on MW</w:t>
      </w:r>
    </w:p>
    <w:p w14:paraId="178BEB34" w14:textId="77777777" w:rsidR="00426D4C" w:rsidRDefault="00426D4C" w:rsidP="00426D4C">
      <w:pPr>
        <w:widowControl w:val="0"/>
        <w:autoSpaceDE w:val="0"/>
        <w:autoSpaceDN w:val="0"/>
        <w:adjustRightInd w:val="0"/>
        <w:rPr>
          <w:rFonts w:ascii="Palatino" w:hAnsi="Palatino" w:cs="Palatino"/>
          <w:sz w:val="20"/>
          <w:szCs w:val="20"/>
        </w:rPr>
      </w:pPr>
      <w:r>
        <w:rPr>
          <w:rFonts w:ascii="Palatino" w:hAnsi="Palatino" w:cs="Palatino"/>
          <w:sz w:val="20"/>
          <w:szCs w:val="20"/>
        </w:rPr>
        <w:tab/>
      </w:r>
      <w:r>
        <w:rPr>
          <w:rFonts w:ascii="Palatino" w:hAnsi="Palatino" w:cs="Palatino"/>
          <w:sz w:val="20"/>
          <w:szCs w:val="20"/>
        </w:rPr>
        <w:tab/>
        <w:t>Contact – sxiong@pitt.edu or 412-624-2877</w:t>
      </w:r>
    </w:p>
    <w:p w14:paraId="6DCAEE13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</w:rPr>
      </w:pPr>
    </w:p>
    <w:p w14:paraId="1D1C33FC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</w:rPr>
      </w:pPr>
      <w:r>
        <w:rPr>
          <w:rFonts w:ascii="Palatino" w:hAnsi="Palatino" w:cs="Palatino"/>
          <w:b/>
          <w:bCs/>
          <w:sz w:val="20"/>
          <w:szCs w:val="20"/>
        </w:rPr>
        <w:t>Goals:</w:t>
      </w:r>
      <w:r>
        <w:rPr>
          <w:rFonts w:ascii="Palatino" w:hAnsi="Palatino" w:cs="Palatino"/>
          <w:b/>
          <w:bCs/>
          <w:sz w:val="20"/>
          <w:szCs w:val="20"/>
        </w:rPr>
        <w:tab/>
      </w:r>
      <w:r>
        <w:rPr>
          <w:rFonts w:ascii="Palatino" w:hAnsi="Palatino" w:cs="Palatino"/>
          <w:sz w:val="20"/>
          <w:szCs w:val="20"/>
        </w:rPr>
        <w:t>To introduce certain actuarial models and their applications to insurance and other financial risks by covering the mathematical content of Exam MFE/3F offered jointly by the Society of Actuaries (SOA) and the Casualty Actuarial Society (CAS).</w:t>
      </w:r>
    </w:p>
    <w:p w14:paraId="5E02FF5F" w14:textId="77777777" w:rsidR="00426D4C" w:rsidRDefault="00426D4C" w:rsidP="00426D4C">
      <w:pPr>
        <w:widowControl w:val="0"/>
        <w:autoSpaceDE w:val="0"/>
        <w:autoSpaceDN w:val="0"/>
        <w:adjustRightInd w:val="0"/>
        <w:rPr>
          <w:rFonts w:ascii="Palatino" w:hAnsi="Palatino" w:cs="Palatino"/>
          <w:sz w:val="20"/>
          <w:szCs w:val="20"/>
        </w:rPr>
      </w:pPr>
    </w:p>
    <w:p w14:paraId="340BBB86" w14:textId="3DA1621D" w:rsidR="00426D4C" w:rsidRDefault="00426D4C" w:rsidP="00426D4C">
      <w:pPr>
        <w:widowControl w:val="0"/>
        <w:autoSpaceDE w:val="0"/>
        <w:autoSpaceDN w:val="0"/>
        <w:adjustRightInd w:val="0"/>
        <w:rPr>
          <w:rFonts w:ascii="Palatino" w:hAnsi="Palatino" w:cs="Palatino"/>
          <w:sz w:val="20"/>
          <w:szCs w:val="20"/>
        </w:rPr>
      </w:pPr>
      <w:r>
        <w:rPr>
          <w:rFonts w:ascii="Palatino" w:hAnsi="Palatino" w:cs="Palatino"/>
          <w:b/>
          <w:bCs/>
          <w:sz w:val="20"/>
          <w:szCs w:val="20"/>
        </w:rPr>
        <w:t>Grading:</w:t>
      </w:r>
      <w:r>
        <w:rPr>
          <w:rFonts w:ascii="Palatino" w:hAnsi="Palatino" w:cs="Palatino"/>
          <w:b/>
          <w:bCs/>
          <w:sz w:val="20"/>
          <w:szCs w:val="20"/>
        </w:rPr>
        <w:tab/>
      </w:r>
      <w:r>
        <w:rPr>
          <w:rFonts w:ascii="Palatino" w:hAnsi="Palatino" w:cs="Palatino"/>
          <w:sz w:val="20"/>
          <w:szCs w:val="20"/>
        </w:rPr>
        <w:t>Quizz</w:t>
      </w:r>
      <w:r w:rsidR="00F138A1">
        <w:rPr>
          <w:rFonts w:ascii="Palatino" w:hAnsi="Palatino" w:cs="Palatino"/>
          <w:sz w:val="20"/>
          <w:szCs w:val="20"/>
        </w:rPr>
        <w:t>es (weekly) and Assignments – 25</w:t>
      </w:r>
      <w:r>
        <w:rPr>
          <w:rFonts w:ascii="Palatino" w:hAnsi="Palatino" w:cs="Palatino"/>
          <w:sz w:val="20"/>
          <w:szCs w:val="20"/>
        </w:rPr>
        <w:t>%</w:t>
      </w:r>
    </w:p>
    <w:p w14:paraId="4125DF9E" w14:textId="348C8AD4" w:rsidR="00426D4C" w:rsidRDefault="00426D4C" w:rsidP="00426D4C">
      <w:pPr>
        <w:widowControl w:val="0"/>
        <w:autoSpaceDE w:val="0"/>
        <w:autoSpaceDN w:val="0"/>
        <w:adjustRightInd w:val="0"/>
        <w:rPr>
          <w:rFonts w:ascii="Palatino" w:hAnsi="Palatino" w:cs="Palatino"/>
          <w:sz w:val="20"/>
          <w:szCs w:val="20"/>
        </w:rPr>
      </w:pPr>
      <w:r>
        <w:rPr>
          <w:rFonts w:ascii="Palatino" w:hAnsi="Palatino" w:cs="Palatino"/>
          <w:sz w:val="20"/>
          <w:szCs w:val="20"/>
        </w:rPr>
        <w:tab/>
      </w:r>
      <w:r>
        <w:rPr>
          <w:rFonts w:ascii="Palatino" w:hAnsi="Palatino" w:cs="Palatino"/>
          <w:sz w:val="20"/>
          <w:szCs w:val="20"/>
        </w:rPr>
        <w:tab/>
        <w:t>Mid</w:t>
      </w:r>
      <w:r w:rsidR="00E149CE">
        <w:rPr>
          <w:rFonts w:ascii="Palatino" w:hAnsi="Palatino" w:cs="Palatino"/>
          <w:sz w:val="20"/>
          <w:szCs w:val="20"/>
        </w:rPr>
        <w:t>term Exam (Thursday, March 2, 2017</w:t>
      </w:r>
      <w:r w:rsidR="00F138A1">
        <w:rPr>
          <w:rFonts w:ascii="Palatino" w:hAnsi="Palatino" w:cs="Palatino"/>
          <w:sz w:val="20"/>
          <w:szCs w:val="20"/>
        </w:rPr>
        <w:t>) – 35</w:t>
      </w:r>
      <w:r>
        <w:rPr>
          <w:rFonts w:ascii="Palatino" w:hAnsi="Palatino" w:cs="Palatino"/>
          <w:sz w:val="20"/>
          <w:szCs w:val="20"/>
        </w:rPr>
        <w:t>%</w:t>
      </w:r>
    </w:p>
    <w:p w14:paraId="6500855D" w14:textId="0FBED0FD" w:rsidR="00426D4C" w:rsidRDefault="00426D4C" w:rsidP="00426D4C">
      <w:pPr>
        <w:widowControl w:val="0"/>
        <w:autoSpaceDE w:val="0"/>
        <w:autoSpaceDN w:val="0"/>
        <w:adjustRightInd w:val="0"/>
        <w:rPr>
          <w:rFonts w:ascii="Palatino" w:hAnsi="Palatino" w:cs="Palatino"/>
          <w:sz w:val="20"/>
          <w:szCs w:val="20"/>
        </w:rPr>
      </w:pPr>
      <w:r>
        <w:rPr>
          <w:rFonts w:ascii="Palatino" w:hAnsi="Palatino" w:cs="Palatino"/>
          <w:sz w:val="20"/>
          <w:szCs w:val="20"/>
        </w:rPr>
        <w:tab/>
      </w:r>
      <w:r>
        <w:rPr>
          <w:rFonts w:ascii="Palatino" w:hAnsi="Palatino" w:cs="Palatino"/>
          <w:sz w:val="20"/>
          <w:szCs w:val="20"/>
        </w:rPr>
        <w:tab/>
        <w:t>Final Exam (</w:t>
      </w:r>
      <w:r w:rsidR="00E149CE">
        <w:rPr>
          <w:rFonts w:ascii="Tahoma" w:hAnsi="Tahoma" w:cs="Tahoma"/>
          <w:sz w:val="20"/>
          <w:szCs w:val="20"/>
        </w:rPr>
        <w:t>Tues</w:t>
      </w:r>
      <w:r w:rsidR="00F15C62">
        <w:rPr>
          <w:rFonts w:ascii="Tahoma" w:hAnsi="Tahoma" w:cs="Tahoma"/>
          <w:sz w:val="20"/>
          <w:szCs w:val="20"/>
        </w:rPr>
        <w:t>da</w:t>
      </w:r>
      <w:r w:rsidR="00E149CE">
        <w:rPr>
          <w:rFonts w:ascii="Tahoma" w:hAnsi="Tahoma" w:cs="Tahoma"/>
          <w:sz w:val="20"/>
          <w:szCs w:val="20"/>
        </w:rPr>
        <w:t xml:space="preserve">y, April 25, 2017 from 12:00 p.m. - 1:50 </w:t>
      </w:r>
      <w:proofErr w:type="spellStart"/>
      <w:r w:rsidR="00E149CE">
        <w:rPr>
          <w:rFonts w:ascii="Tahoma" w:hAnsi="Tahoma" w:cs="Tahoma"/>
          <w:sz w:val="20"/>
          <w:szCs w:val="20"/>
        </w:rPr>
        <w:t>p</w:t>
      </w:r>
      <w:r w:rsidR="00770E47" w:rsidRPr="00770E47">
        <w:rPr>
          <w:rFonts w:ascii="Tahoma" w:hAnsi="Tahoma" w:cs="Tahoma"/>
          <w:sz w:val="20"/>
          <w:szCs w:val="20"/>
        </w:rPr>
        <w:t>.m</w:t>
      </w:r>
      <w:proofErr w:type="spellEnd"/>
      <w:r>
        <w:rPr>
          <w:rFonts w:ascii="Palatino" w:hAnsi="Palatino" w:cs="Palatino"/>
          <w:sz w:val="20"/>
          <w:szCs w:val="20"/>
        </w:rPr>
        <w:t>) – 40%</w:t>
      </w:r>
    </w:p>
    <w:p w14:paraId="6009403D" w14:textId="77777777" w:rsidR="00426D4C" w:rsidRDefault="00426D4C" w:rsidP="00426D4C">
      <w:pPr>
        <w:widowControl w:val="0"/>
        <w:autoSpaceDE w:val="0"/>
        <w:autoSpaceDN w:val="0"/>
        <w:adjustRightInd w:val="0"/>
        <w:rPr>
          <w:rFonts w:ascii="Palatino" w:hAnsi="Palatino" w:cs="Palatino"/>
          <w:sz w:val="20"/>
          <w:szCs w:val="20"/>
        </w:rPr>
      </w:pPr>
    </w:p>
    <w:p w14:paraId="5DF23CE0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b/>
          <w:bCs/>
          <w:sz w:val="20"/>
          <w:szCs w:val="20"/>
        </w:rPr>
        <w:t xml:space="preserve">Textbooks: </w:t>
      </w:r>
      <w:r>
        <w:rPr>
          <w:rFonts w:ascii="Palatino" w:hAnsi="Palatino" w:cs="Palatino"/>
          <w:sz w:val="20"/>
          <w:szCs w:val="20"/>
          <w:u w:val="single"/>
        </w:rPr>
        <w:t xml:space="preserve">McDonald, R.L., </w:t>
      </w:r>
      <w:r>
        <w:rPr>
          <w:rFonts w:ascii="Palatino" w:hAnsi="Palatino" w:cs="Palatino"/>
          <w:i/>
          <w:iCs/>
          <w:sz w:val="20"/>
          <w:szCs w:val="20"/>
          <w:u w:val="single"/>
        </w:rPr>
        <w:t xml:space="preserve">Derivatives Markets </w:t>
      </w:r>
      <w:r>
        <w:rPr>
          <w:rFonts w:ascii="Palatino" w:hAnsi="Palatino" w:cs="Palatino"/>
          <w:sz w:val="20"/>
          <w:szCs w:val="20"/>
          <w:u w:val="single"/>
        </w:rPr>
        <w:t>(Third Edition), 2013, Addison Wesley</w:t>
      </w:r>
    </w:p>
    <w:p w14:paraId="3116399D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 xml:space="preserve">Chapter 9, </w:t>
      </w:r>
    </w:p>
    <w:p w14:paraId="3CAD0684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 xml:space="preserve">Chapter 10, (excluding “Options on Commodities” on pages 315 and 316), </w:t>
      </w:r>
    </w:p>
    <w:p w14:paraId="54DFBE8F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 xml:space="preserve">Chapter 11, Sections 11.1–11.3, Appendices 11.A and 11.B, </w:t>
      </w:r>
    </w:p>
    <w:p w14:paraId="269E4E2A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 xml:space="preserve">Chapter 12, Sections 12.1–12.5, Appendix 12.A,   </w:t>
      </w:r>
    </w:p>
    <w:p w14:paraId="22296F69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>Chapter 13, including Appendix 13.B,</w:t>
      </w:r>
    </w:p>
    <w:p w14:paraId="2AA3D3EE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>Chapter 14,</w:t>
      </w:r>
    </w:p>
    <w:p w14:paraId="6A06218F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 xml:space="preserve">Chapter 18, </w:t>
      </w:r>
    </w:p>
    <w:p w14:paraId="08424B76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 xml:space="preserve">Chapter 19, Sections 19.1–19.5, </w:t>
      </w:r>
    </w:p>
    <w:p w14:paraId="72559F8B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</w:p>
    <w:p w14:paraId="59D681BE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 xml:space="preserve">Chapter 20, Sections 20.1–20.3 (up to but excluding “Modeling Correlated Asset </w:t>
      </w:r>
    </w:p>
    <w:p w14:paraId="153C45BF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 xml:space="preserve">Prices” on pages 612-613), 20.4 (excluding “Multivariate </w:t>
      </w:r>
      <w:proofErr w:type="spellStart"/>
      <w:r>
        <w:rPr>
          <w:rFonts w:ascii="Palatino" w:hAnsi="Palatino" w:cs="Palatino"/>
          <w:sz w:val="20"/>
          <w:szCs w:val="20"/>
          <w:u w:val="single"/>
        </w:rPr>
        <w:t>Itô’s</w:t>
      </w:r>
      <w:proofErr w:type="spellEnd"/>
      <w:r>
        <w:rPr>
          <w:rFonts w:ascii="Palatino" w:hAnsi="Palatino" w:cs="Palatino"/>
          <w:sz w:val="20"/>
          <w:szCs w:val="20"/>
          <w:u w:val="single"/>
        </w:rPr>
        <w:t xml:space="preserve"> Lemma” on </w:t>
      </w:r>
    </w:p>
    <w:p w14:paraId="444C5D32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proofErr w:type="gramStart"/>
      <w:r>
        <w:rPr>
          <w:rFonts w:ascii="Palatino" w:hAnsi="Palatino" w:cs="Palatino"/>
          <w:sz w:val="20"/>
          <w:szCs w:val="20"/>
          <w:u w:val="single"/>
        </w:rPr>
        <w:t>pages</w:t>
      </w:r>
      <w:proofErr w:type="gramEnd"/>
      <w:r>
        <w:rPr>
          <w:rFonts w:ascii="Palatino" w:hAnsi="Palatino" w:cs="Palatino"/>
          <w:sz w:val="20"/>
          <w:szCs w:val="20"/>
          <w:u w:val="single"/>
        </w:rPr>
        <w:t xml:space="preserve"> 616-617), 20.5–20.6 (up to but excluding “Valuing a Claim on </w:t>
      </w:r>
      <w:proofErr w:type="spellStart"/>
      <w:r>
        <w:rPr>
          <w:rFonts w:ascii="Palatino" w:hAnsi="Palatino" w:cs="Palatino"/>
          <w:sz w:val="20"/>
          <w:szCs w:val="20"/>
          <w:u w:val="single"/>
        </w:rPr>
        <w:t>S^aQ^b</w:t>
      </w:r>
      <w:proofErr w:type="spellEnd"/>
    </w:p>
    <w:p w14:paraId="40A01278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proofErr w:type="gramStart"/>
      <w:r>
        <w:rPr>
          <w:rFonts w:ascii="Palatino" w:hAnsi="Palatino" w:cs="Palatino"/>
          <w:sz w:val="20"/>
          <w:szCs w:val="20"/>
          <w:u w:val="single"/>
        </w:rPr>
        <w:t>on</w:t>
      </w:r>
      <w:proofErr w:type="gramEnd"/>
      <w:r>
        <w:rPr>
          <w:rFonts w:ascii="Palatino" w:hAnsi="Palatino" w:cs="Palatino"/>
          <w:sz w:val="20"/>
          <w:szCs w:val="20"/>
          <w:u w:val="single"/>
        </w:rPr>
        <w:t xml:space="preserve"> pages 621-622) </w:t>
      </w:r>
    </w:p>
    <w:p w14:paraId="57F14E20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</w:p>
    <w:p w14:paraId="5F4EF4DE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 xml:space="preserve">Chapter 21, Sections 21.1–21.2 (excluding “What If the Underlying Asset Is Not </w:t>
      </w:r>
    </w:p>
    <w:p w14:paraId="7314E148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proofErr w:type="gramStart"/>
      <w:r>
        <w:rPr>
          <w:rFonts w:ascii="Palatino" w:hAnsi="Palatino" w:cs="Palatino"/>
          <w:sz w:val="20"/>
          <w:szCs w:val="20"/>
          <w:u w:val="single"/>
        </w:rPr>
        <w:t>an</w:t>
      </w:r>
      <w:proofErr w:type="gramEnd"/>
      <w:r>
        <w:rPr>
          <w:rFonts w:ascii="Palatino" w:hAnsi="Palatino" w:cs="Palatino"/>
          <w:sz w:val="20"/>
          <w:szCs w:val="20"/>
          <w:u w:val="single"/>
        </w:rPr>
        <w:t xml:space="preserve"> Investment Asset” on pages 635–637) and 21.3 (excluding “The </w:t>
      </w:r>
    </w:p>
    <w:p w14:paraId="031371EF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 xml:space="preserve">Backward Equation” on pages 637–638, and excluding the last two </w:t>
      </w:r>
    </w:p>
    <w:p w14:paraId="1C068B29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proofErr w:type="gramStart"/>
      <w:r>
        <w:rPr>
          <w:rFonts w:ascii="Palatino" w:hAnsi="Palatino" w:cs="Palatino"/>
          <w:sz w:val="20"/>
          <w:szCs w:val="20"/>
          <w:u w:val="single"/>
        </w:rPr>
        <w:t>paragraphs</w:t>
      </w:r>
      <w:proofErr w:type="gramEnd"/>
      <w:r>
        <w:rPr>
          <w:rFonts w:ascii="Palatino" w:hAnsi="Palatino" w:cs="Palatino"/>
          <w:sz w:val="20"/>
          <w:szCs w:val="20"/>
          <w:u w:val="single"/>
        </w:rPr>
        <w:t xml:space="preserve"> of the section on page 639),</w:t>
      </w:r>
    </w:p>
    <w:p w14:paraId="42155340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</w:p>
    <w:p w14:paraId="4727A74D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 xml:space="preserve">Chapter 23, Section 23.1 (but with only those definitions in Tables 23.1 and 23.2 </w:t>
      </w:r>
    </w:p>
    <w:p w14:paraId="574A01C6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proofErr w:type="gramStart"/>
      <w:r>
        <w:rPr>
          <w:rFonts w:ascii="Palatino" w:hAnsi="Palatino" w:cs="Palatino"/>
          <w:sz w:val="20"/>
          <w:szCs w:val="20"/>
          <w:u w:val="single"/>
        </w:rPr>
        <w:t>that</w:t>
      </w:r>
      <w:proofErr w:type="gramEnd"/>
      <w:r>
        <w:rPr>
          <w:rFonts w:ascii="Palatino" w:hAnsi="Palatino" w:cs="Palatino"/>
          <w:sz w:val="20"/>
          <w:szCs w:val="20"/>
          <w:u w:val="single"/>
        </w:rPr>
        <w:t xml:space="preserve"> are relevant to Section 23.1),</w:t>
      </w:r>
    </w:p>
    <w:p w14:paraId="4D32E9BD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</w:p>
    <w:p w14:paraId="353DC536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 xml:space="preserve">Chapter 24, Sections 24.1 – 24.2 (up to the second paragraph on page 721, but </w:t>
      </w:r>
    </w:p>
    <w:p w14:paraId="1DC38262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proofErr w:type="gramStart"/>
      <w:r>
        <w:rPr>
          <w:rFonts w:ascii="Palatino" w:hAnsi="Palatino" w:cs="Palatino"/>
          <w:sz w:val="20"/>
          <w:szCs w:val="20"/>
          <w:u w:val="single"/>
        </w:rPr>
        <w:t>including</w:t>
      </w:r>
      <w:proofErr w:type="gramEnd"/>
      <w:r>
        <w:rPr>
          <w:rFonts w:ascii="Palatino" w:hAnsi="Palatino" w:cs="Palatino"/>
          <w:sz w:val="20"/>
          <w:szCs w:val="20"/>
          <w:u w:val="single"/>
        </w:rPr>
        <w:t xml:space="preserve"> footnote 4 on page 721 and the top panel in Figure 24.3 on </w:t>
      </w:r>
    </w:p>
    <w:p w14:paraId="706DB44D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proofErr w:type="gramStart"/>
      <w:r>
        <w:rPr>
          <w:rFonts w:ascii="Palatino" w:hAnsi="Palatino" w:cs="Palatino"/>
          <w:sz w:val="20"/>
          <w:szCs w:val="20"/>
          <w:u w:val="single"/>
        </w:rPr>
        <w:t>page</w:t>
      </w:r>
      <w:proofErr w:type="gramEnd"/>
      <w:r>
        <w:rPr>
          <w:rFonts w:ascii="Palatino" w:hAnsi="Palatino" w:cs="Palatino"/>
          <w:sz w:val="20"/>
          <w:szCs w:val="20"/>
          <w:u w:val="single"/>
        </w:rPr>
        <w:t xml:space="preserve"> 723), </w:t>
      </w:r>
    </w:p>
    <w:p w14:paraId="3BAAF1D9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</w:p>
    <w:p w14:paraId="280CDFAF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 xml:space="preserve">Chapter 25, Sections 25.1 – 25.4 (up to the first paragraph on page 773), 25.5 </w:t>
      </w:r>
    </w:p>
    <w:p w14:paraId="10EE0BDA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>(</w:t>
      </w:r>
      <w:proofErr w:type="gramStart"/>
      <w:r>
        <w:rPr>
          <w:rFonts w:ascii="Palatino" w:hAnsi="Palatino" w:cs="Palatino"/>
          <w:sz w:val="20"/>
          <w:szCs w:val="20"/>
          <w:u w:val="single"/>
        </w:rPr>
        <w:t>excluding</w:t>
      </w:r>
      <w:proofErr w:type="gramEnd"/>
      <w:r>
        <w:rPr>
          <w:rFonts w:ascii="Palatino" w:hAnsi="Palatino" w:cs="Palatino"/>
          <w:sz w:val="20"/>
          <w:szCs w:val="20"/>
          <w:u w:val="single"/>
        </w:rPr>
        <w:t xml:space="preserve"> “LIBOR Market Model” on pages 781-783), Appendix 25.A </w:t>
      </w:r>
    </w:p>
    <w:p w14:paraId="1749646B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>(</w:t>
      </w:r>
      <w:proofErr w:type="gramStart"/>
      <w:r>
        <w:rPr>
          <w:rFonts w:ascii="Palatino" w:hAnsi="Palatino" w:cs="Palatino"/>
          <w:sz w:val="20"/>
          <w:szCs w:val="20"/>
          <w:u w:val="single"/>
        </w:rPr>
        <w:t>this</w:t>
      </w:r>
      <w:proofErr w:type="gramEnd"/>
      <w:r>
        <w:rPr>
          <w:rFonts w:ascii="Palatino" w:hAnsi="Palatino" w:cs="Palatino"/>
          <w:sz w:val="20"/>
          <w:szCs w:val="20"/>
          <w:u w:val="single"/>
        </w:rPr>
        <w:t xml:space="preserve"> appendix contains only a reference to the following site for </w:t>
      </w:r>
    </w:p>
    <w:p w14:paraId="759E1584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proofErr w:type="gramStart"/>
      <w:r>
        <w:rPr>
          <w:rFonts w:ascii="Palatino" w:hAnsi="Palatino" w:cs="Palatino"/>
          <w:sz w:val="20"/>
          <w:szCs w:val="20"/>
          <w:u w:val="single"/>
        </w:rPr>
        <w:t>download</w:t>
      </w:r>
      <w:proofErr w:type="gramEnd"/>
      <w:r>
        <w:rPr>
          <w:rFonts w:ascii="Palatino" w:hAnsi="Palatino" w:cs="Palatino"/>
          <w:sz w:val="20"/>
          <w:szCs w:val="20"/>
          <w:u w:val="single"/>
        </w:rPr>
        <w:t>,  http://wps.aw.com/wps/media/objects/14728/15081864/appendices/McDo</w:t>
      </w:r>
    </w:p>
    <w:p w14:paraId="4CAC4F14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>nald-web-25-</w:t>
      </w:r>
      <w:proofErr w:type="gramStart"/>
      <w:r>
        <w:rPr>
          <w:rFonts w:ascii="Palatino" w:hAnsi="Palatino" w:cs="Palatino"/>
          <w:sz w:val="20"/>
          <w:szCs w:val="20"/>
          <w:u w:val="single"/>
        </w:rPr>
        <w:t>A.pdf )</w:t>
      </w:r>
      <w:proofErr w:type="gramEnd"/>
      <w:r>
        <w:rPr>
          <w:rFonts w:ascii="Palatino" w:hAnsi="Palatino" w:cs="Palatino"/>
          <w:sz w:val="20"/>
          <w:szCs w:val="20"/>
          <w:u w:val="single"/>
        </w:rPr>
        <w:t>,</w:t>
      </w:r>
    </w:p>
    <w:p w14:paraId="0962A249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</w:p>
    <w:p w14:paraId="27F89334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proofErr w:type="gramStart"/>
      <w:r>
        <w:rPr>
          <w:rFonts w:ascii="Palatino" w:hAnsi="Palatino" w:cs="Palatino"/>
          <w:sz w:val="20"/>
          <w:szCs w:val="20"/>
          <w:u w:val="single"/>
        </w:rPr>
        <w:t>Appendix B.1, Appendix C.</w:t>
      </w:r>
      <w:proofErr w:type="gramEnd"/>
      <w:r>
        <w:rPr>
          <w:rFonts w:ascii="Palatino" w:hAnsi="Palatino" w:cs="Palatino"/>
          <w:sz w:val="20"/>
          <w:szCs w:val="20"/>
          <w:u w:val="single"/>
        </w:rPr>
        <w:t xml:space="preserve"> </w:t>
      </w:r>
    </w:p>
    <w:p w14:paraId="0633ECB7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</w:p>
    <w:p w14:paraId="330092F7" w14:textId="153975EA" w:rsidR="00426D4C" w:rsidRDefault="00426D4C" w:rsidP="00E149CE">
      <w:pPr>
        <w:widowControl w:val="0"/>
        <w:autoSpaceDE w:val="0"/>
        <w:autoSpaceDN w:val="0"/>
        <w:adjustRightInd w:val="0"/>
        <w:ind w:left="1440"/>
        <w:rPr>
          <w:rFonts w:ascii="Palatino" w:hAnsi="Palatino" w:cs="Palatino"/>
          <w:sz w:val="20"/>
          <w:szCs w:val="20"/>
          <w:u w:val="single"/>
        </w:rPr>
      </w:pPr>
      <w:r>
        <w:rPr>
          <w:rFonts w:ascii="Palatino" w:hAnsi="Palatino" w:cs="Palatino"/>
          <w:sz w:val="20"/>
          <w:szCs w:val="20"/>
          <w:u w:val="single"/>
        </w:rPr>
        <w:t xml:space="preserve">Unless otherwise stated chapter appendices are not included in the required </w:t>
      </w:r>
      <w:proofErr w:type="gramStart"/>
      <w:r>
        <w:rPr>
          <w:rFonts w:ascii="Palatino" w:hAnsi="Palatino" w:cs="Palatino"/>
          <w:sz w:val="20"/>
          <w:szCs w:val="20"/>
          <w:u w:val="single"/>
        </w:rPr>
        <w:lastRenderedPageBreak/>
        <w:t xml:space="preserve">readings </w:t>
      </w:r>
      <w:r w:rsidR="00E149CE">
        <w:rPr>
          <w:rFonts w:ascii="Palatino" w:hAnsi="Palatino" w:cs="Palatino"/>
          <w:sz w:val="20"/>
          <w:szCs w:val="20"/>
          <w:u w:val="single"/>
        </w:rPr>
        <w:t xml:space="preserve"> </w:t>
      </w:r>
      <w:r>
        <w:rPr>
          <w:rFonts w:ascii="Palatino" w:hAnsi="Palatino" w:cs="Palatino"/>
          <w:sz w:val="20"/>
          <w:szCs w:val="20"/>
          <w:u w:val="single"/>
        </w:rPr>
        <w:t>from</w:t>
      </w:r>
      <w:proofErr w:type="gramEnd"/>
      <w:r>
        <w:rPr>
          <w:rFonts w:ascii="Palatino" w:hAnsi="Palatino" w:cs="Palatino"/>
          <w:sz w:val="20"/>
          <w:szCs w:val="20"/>
          <w:u w:val="single"/>
        </w:rPr>
        <w:t xml:space="preserve"> this text.</w:t>
      </w:r>
    </w:p>
    <w:p w14:paraId="3812DA4F" w14:textId="77777777" w:rsidR="00426D4C" w:rsidRDefault="00426D4C" w:rsidP="00426D4C">
      <w:pPr>
        <w:widowControl w:val="0"/>
        <w:autoSpaceDE w:val="0"/>
        <w:autoSpaceDN w:val="0"/>
        <w:adjustRightInd w:val="0"/>
        <w:ind w:left="720"/>
        <w:rPr>
          <w:rFonts w:ascii="Palatino" w:hAnsi="Palatino" w:cs="Palatino"/>
          <w:sz w:val="20"/>
          <w:szCs w:val="20"/>
        </w:rPr>
      </w:pPr>
    </w:p>
    <w:p w14:paraId="464DD49A" w14:textId="77777777" w:rsidR="00426D4C" w:rsidRDefault="00426D4C" w:rsidP="00426D4C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Palatino" w:hAnsi="Palatino" w:cs="Palatino"/>
          <w:b/>
          <w:bCs/>
          <w:sz w:val="20"/>
          <w:szCs w:val="20"/>
        </w:rPr>
        <w:t>Study Guide:</w:t>
      </w:r>
      <w:r>
        <w:rPr>
          <w:rFonts w:ascii="Palatino" w:hAnsi="Palatino" w:cs="Palatino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color w:val="0000FF"/>
          <w:sz w:val="20"/>
          <w:szCs w:val="20"/>
        </w:rPr>
        <w:t>ASM MFE Study Manual fo</w:t>
      </w:r>
      <w:r w:rsidR="009E5644">
        <w:rPr>
          <w:rFonts w:ascii="Arial" w:hAnsi="Arial" w:cs="Arial"/>
          <w:b/>
          <w:bCs/>
          <w:color w:val="0000FF"/>
          <w:sz w:val="20"/>
          <w:szCs w:val="20"/>
        </w:rPr>
        <w:t>r the Exam MFE/3F, 9th Edition 6</w:t>
      </w:r>
      <w:r>
        <w:rPr>
          <w:rFonts w:ascii="Arial" w:hAnsi="Arial" w:cs="Arial"/>
          <w:b/>
          <w:bCs/>
          <w:color w:val="0000FF"/>
          <w:sz w:val="20"/>
          <w:szCs w:val="20"/>
        </w:rPr>
        <w:t>th Printing</w:t>
      </w:r>
    </w:p>
    <w:p w14:paraId="32E1F1DC" w14:textId="77777777" w:rsidR="00426D4C" w:rsidRDefault="00426D4C" w:rsidP="00426D4C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Author: </w:t>
      </w:r>
      <w:hyperlink r:id="rId5" w:history="1">
        <w:r>
          <w:rPr>
            <w:rFonts w:ascii="Arial" w:hAnsi="Arial" w:cs="Arial"/>
            <w:sz w:val="20"/>
            <w:szCs w:val="20"/>
            <w:u w:val="single"/>
          </w:rPr>
          <w:t>Abraham </w:t>
        </w:r>
        <w:proofErr w:type="spellStart"/>
        <w:r>
          <w:rPr>
            <w:rFonts w:ascii="Arial" w:hAnsi="Arial" w:cs="Arial"/>
            <w:sz w:val="20"/>
            <w:szCs w:val="20"/>
            <w:u w:val="single"/>
          </w:rPr>
          <w:t>Weishaus</w:t>
        </w:r>
        <w:proofErr w:type="spellEnd"/>
        <w:r>
          <w:rPr>
            <w:rFonts w:ascii="Arial" w:hAnsi="Arial" w:cs="Arial"/>
            <w:sz w:val="20"/>
            <w:szCs w:val="20"/>
            <w:u w:val="single"/>
          </w:rPr>
          <w:t>, Ph.D., FSA, CFA, MAAA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1085D90" w14:textId="77777777" w:rsidR="00426D4C" w:rsidRDefault="00426D4C" w:rsidP="00426D4C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</w:p>
    <w:p w14:paraId="58FA3294" w14:textId="77777777" w:rsidR="00426D4C" w:rsidRDefault="00426D4C" w:rsidP="00426D4C">
      <w:pPr>
        <w:widowControl w:val="0"/>
        <w:autoSpaceDE w:val="0"/>
        <w:autoSpaceDN w:val="0"/>
        <w:adjustRightInd w:val="0"/>
        <w:rPr>
          <w:rFonts w:ascii="Palatino" w:hAnsi="Palatino" w:cs="Palatino"/>
          <w:b/>
          <w:bCs/>
          <w:sz w:val="20"/>
          <w:szCs w:val="20"/>
        </w:rPr>
      </w:pPr>
      <w:r>
        <w:rPr>
          <w:rFonts w:ascii="Palatino" w:hAnsi="Palatino" w:cs="Palatino"/>
          <w:b/>
          <w:bCs/>
          <w:sz w:val="20"/>
          <w:szCs w:val="20"/>
        </w:rPr>
        <w:t xml:space="preserve">For the official Exam MFE syllabus and registration information, visit the Be An Actuary website at </w:t>
      </w:r>
    </w:p>
    <w:p w14:paraId="11734CBB" w14:textId="77777777" w:rsidR="00426D4C" w:rsidRDefault="00426D4C" w:rsidP="00426D4C">
      <w:pPr>
        <w:widowControl w:val="0"/>
        <w:autoSpaceDE w:val="0"/>
        <w:autoSpaceDN w:val="0"/>
        <w:adjustRightInd w:val="0"/>
        <w:rPr>
          <w:rFonts w:ascii="Palatino" w:hAnsi="Palatino" w:cs="Palatino"/>
          <w:b/>
          <w:bCs/>
          <w:sz w:val="20"/>
          <w:szCs w:val="20"/>
        </w:rPr>
      </w:pPr>
      <w:r>
        <w:rPr>
          <w:rFonts w:ascii="Palatino" w:hAnsi="Palatino" w:cs="Palatino"/>
          <w:b/>
          <w:bCs/>
          <w:sz w:val="20"/>
          <w:szCs w:val="20"/>
        </w:rPr>
        <w:t>http://www.beanactuary.org/exams/preliminary/?fa=financial-economics-exam</w:t>
      </w:r>
    </w:p>
    <w:p w14:paraId="0F536A2B" w14:textId="77777777" w:rsidR="00426D4C" w:rsidRDefault="00426D4C" w:rsidP="00426D4C">
      <w:pPr>
        <w:widowControl w:val="0"/>
        <w:autoSpaceDE w:val="0"/>
        <w:autoSpaceDN w:val="0"/>
        <w:adjustRightInd w:val="0"/>
        <w:rPr>
          <w:rFonts w:ascii="Palatino" w:hAnsi="Palatino" w:cs="Palatino"/>
          <w:b/>
          <w:bCs/>
          <w:sz w:val="20"/>
          <w:szCs w:val="20"/>
        </w:rPr>
      </w:pPr>
    </w:p>
    <w:p w14:paraId="0E1CAAFF" w14:textId="77777777" w:rsidR="00426D4C" w:rsidRDefault="00426D4C" w:rsidP="00426D4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If you have a disability for which you are or may be requesting an accommodation, you are encouraged to contact your instructor and Disability Resources and Services, 140 William Pitt Union, 412-648-7890 as early as possible in the term.  DRS will verify your disability and determine reasonable accommodations for this course.</w:t>
      </w:r>
    </w:p>
    <w:p w14:paraId="7CD8B507" w14:textId="77777777" w:rsidR="00A51B98" w:rsidRDefault="00A51B98"/>
    <w:sectPr w:rsidR="00A51B98" w:rsidSect="00C458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4C"/>
    <w:rsid w:val="00426D4C"/>
    <w:rsid w:val="004E4BED"/>
    <w:rsid w:val="00770E47"/>
    <w:rsid w:val="009E5644"/>
    <w:rsid w:val="00A51B98"/>
    <w:rsid w:val="00B204B3"/>
    <w:rsid w:val="00C9235B"/>
    <w:rsid w:val="00E149CE"/>
    <w:rsid w:val="00E4553F"/>
    <w:rsid w:val="00F138A1"/>
    <w:rsid w:val="00F15C62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351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texmadriver.com/contributorinfo.cfm?ContribID=7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Xiong</dc:creator>
  <cp:keywords/>
  <dc:description/>
  <cp:lastModifiedBy>Diane</cp:lastModifiedBy>
  <cp:revision>2</cp:revision>
  <dcterms:created xsi:type="dcterms:W3CDTF">2017-02-09T17:51:00Z</dcterms:created>
  <dcterms:modified xsi:type="dcterms:W3CDTF">2017-02-09T17:51:00Z</dcterms:modified>
</cp:coreProperties>
</file>